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2CE1B0CF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7338C8">
              <w:rPr>
                <w:rFonts w:ascii="Trebuchet MS" w:hAnsi="Trebuchet MS"/>
                <w:sz w:val="18"/>
                <w:szCs w:val="18"/>
                <w:lang w:val="en-US"/>
              </w:rPr>
              <w:t>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81091C2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7338C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5B66552" w:rsidR="000F2690" w:rsidRPr="00FA6811" w:rsidRDefault="005270A6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June 9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7301EED" w:rsidR="000F2690" w:rsidRPr="00FA6811" w:rsidRDefault="005270A6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birželio 9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79990CF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5270A6">
              <w:rPr>
                <w:rFonts w:ascii="Trebuchet MS" w:hAnsi="Trebuchet MS"/>
                <w:sz w:val="18"/>
                <w:szCs w:val="18"/>
                <w:lang w:val="en-US"/>
              </w:rPr>
              <w:t>21NU-185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91C162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270A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21NU-185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>outer</w:t>
            </w:r>
            <w:proofErr w:type="spellEnd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>sheath</w:t>
            </w:r>
            <w:proofErr w:type="spellEnd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>must</w:t>
            </w:r>
            <w:proofErr w:type="spellEnd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neturintis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tinklinis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apvalkalo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mišinys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proofErr w:type="gram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angl.Halogen</w:t>
            </w:r>
            <w:proofErr w:type="spellEnd"/>
            <w:proofErr w:type="gram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sheathing compound);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neturintis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termoplastinis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apvalkalo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mišinys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angl.Halogen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angl.Halogen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free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cross-linked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sheathing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compounds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); Halogenų neturintis,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termoplastinis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apvalkalo mišinys (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angl.Halogen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free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thermoplastic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sheathing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compounds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>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F6A" w14:textId="77777777" w:rsidR="00EB156E" w:rsidRDefault="00EB156E" w:rsidP="00324288">
      <w:pPr>
        <w:spacing w:after="0" w:line="240" w:lineRule="auto"/>
      </w:pPr>
      <w:r>
        <w:separator/>
      </w:r>
    </w:p>
  </w:endnote>
  <w:endnote w:type="continuationSeparator" w:id="0">
    <w:p w14:paraId="29EB93E6" w14:textId="77777777" w:rsidR="00EB156E" w:rsidRDefault="00EB156E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EBD" w14:textId="77777777" w:rsidR="00EB156E" w:rsidRDefault="00EB156E" w:rsidP="00324288">
      <w:pPr>
        <w:spacing w:after="0" w:line="240" w:lineRule="auto"/>
      </w:pPr>
      <w:r>
        <w:separator/>
      </w:r>
    </w:p>
  </w:footnote>
  <w:footnote w:type="continuationSeparator" w:id="0">
    <w:p w14:paraId="4F1A8B4C" w14:textId="77777777" w:rsidR="00EB156E" w:rsidRDefault="00EB156E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75E9"/>
    <w:rsid w:val="001214FA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20A5C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3FA8"/>
    <w:rsid w:val="00B55B2B"/>
    <w:rsid w:val="00BB0610"/>
    <w:rsid w:val="00BC2768"/>
    <w:rsid w:val="00C340AE"/>
    <w:rsid w:val="00C71F7C"/>
    <w:rsid w:val="00D251ED"/>
    <w:rsid w:val="00D2585F"/>
    <w:rsid w:val="00D37338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https://projektai.intranet.litgrid.eu/PWA/Riešės%20TP%20ir%20ŽTŠK/_layouts/15/DocIdRedir.aspx?ID=PVIS-1388274792-169</Url>
      <Description>PVIS-1388274792-169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PVIS-1388274792-169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DBAC9-F0FB-49F9-96F1-79D213B09279}"/>
</file>

<file path=customXml/itemProps3.xml><?xml version="1.0" encoding="utf-8"?>
<ds:datastoreItem xmlns:ds="http://schemas.openxmlformats.org/officeDocument/2006/customXml" ds:itemID="{E42FE36E-A5A0-4B3B-8718-4F5C921F11B8}"/>
</file>

<file path=customXml/itemProps4.xml><?xml version="1.0" encoding="utf-8"?>
<ds:datastoreItem xmlns:ds="http://schemas.openxmlformats.org/officeDocument/2006/customXml" ds:itemID="{8B1130A6-10EC-4B00-B92F-598F36D8C530}"/>
</file>

<file path=customXml/itemProps5.xml><?xml version="1.0" encoding="utf-8"?>
<ds:datastoreItem xmlns:ds="http://schemas.openxmlformats.org/officeDocument/2006/customXml" ds:itemID="{CDA210BC-2738-46ED-968D-62599956F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7478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2021-06-14T03:57:00Z</dcterms:created>
  <dcterms:modified xsi:type="dcterms:W3CDTF">2021-06-14T03:57:00Z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0x01010066872F3CC8F7D84995438B893169A0800200F471B502E185934AB1AD508E02574B87</vt:lpwstr>
  </property>
  <property fmtid="{D5CDD505-2E9C-101B-9397-08002B2CF9AE}" pid="3" name="_dlc_DocIdItemGuid">
    <vt:lpwstr>a3ee746f-4dfc-413e-82d6-e45bedb4b144</vt:lpwstr>
  </property>
</Properties>
</file>